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УЧЕБНЫЙ ПЛАН ООП ОСНОВНОГО ОБЩЕГО ОБРАЗОВАНИЯ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при пятидневной учебной неделе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8"/>
        <w:gridCol w:w="712"/>
        <w:gridCol w:w="2484"/>
        <w:gridCol w:w="804"/>
        <w:gridCol w:w="792"/>
        <w:gridCol w:w="732"/>
        <w:gridCol w:w="744"/>
        <w:gridCol w:w="732"/>
        <w:gridCol w:w="912"/>
        <w:gridCol w:w="1105"/>
      </w:tblGrid>
      <w:tr>
        <w:trPr>
          <w:trHeight w:val="315" w:hRule="atLeast"/>
        </w:trPr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jc w:val="righ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3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24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9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11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104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Русский язык и литература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Литература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родная литература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 xml:space="preserve">Родной язык и (или) государственный язык республики Российской Федерации (русский)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Родной язык и родная литература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Родная литература (русская)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0.5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Иностранные языки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Иностранный язык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102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170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Математика и информатика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духовно-нравственной культуры народов России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ОДНКР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Общественно-научные предметы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История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Общественно-научные предметы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Обществознание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Общественно-научные предметы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География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Естественно-научные предметы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Естественно-научные предметы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Химия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Естественно-научные предметы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Биология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Музыка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Искусство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Изобразительное искусство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Технология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Основы безопасности жизнедеятельности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Физическая культура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68</w:t>
            </w:r>
          </w:p>
        </w:tc>
      </w:tr>
      <w:tr>
        <w:trPr>
          <w:trHeight w:val="315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28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952</w:t>
            </w:r>
          </w:p>
        </w:tc>
      </w:tr>
      <w:tr>
        <w:trPr>
          <w:trHeight w:val="300" w:hRule="atLeast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</w:r>
          </w:p>
        </w:tc>
        <w:tc>
          <w:tcPr>
            <w:tcW w:w="90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>
        <w:trPr>
          <w:trHeight w:val="300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&lt;...&gt;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&lt;...&gt;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&lt;...&gt;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 w:themeColor="text1"/>
                <w:szCs w:val="24"/>
                <w:lang w:val="en-US" w:eastAsia="ru-RU"/>
              </w:rPr>
              <w:t>&lt;...&gt;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29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33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val="en-US" w:eastAsia="ru-RU"/>
              </w:rPr>
              <w:t>157</w:t>
            </w:r>
            <w:bookmarkStart w:id="0" w:name="_GoBack"/>
            <w:bookmarkEnd w:id="0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Cs w:val="24"/>
                <w:lang w:eastAsia="ru-RU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93f10"/>
    <w:pPr>
      <w:widowControl/>
      <w:suppressAutoHyphens w:val="true"/>
      <w:bidi w:val="0"/>
      <w:spacing w:lineRule="auto" w:line="360" w:before="0" w:after="0"/>
      <w:contextualSpacing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d5c38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  <w:contextualSpacing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d5c38"/>
    <w:pPr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LibreOffice/7.0.3.1$Windows_X86_64 LibreOffice_project/d7547858d014d4cf69878db179d326fc3483e082</Application>
  <Pages>2</Pages>
  <Words>221</Words>
  <Characters>1322</Characters>
  <CharactersWithSpaces>1404</CharactersWithSpaces>
  <Paragraphs>241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2022-02-22T07:12:00Z</dcterms:created>
  <dc:creator>Кужель</dc:creator>
  <dc:description/>
  <dc:language>ru-RU</dc:language>
  <cp:lastModifiedBy/>
  <dcterms:modified xsi:type="dcterms:W3CDTF">2022-09-10T14:16:38Z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